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95980" w14:textId="77777777" w:rsidR="003B5FEA" w:rsidRPr="00F43556" w:rsidRDefault="003B5FEA" w:rsidP="003B5FEA">
      <w:pPr>
        <w:tabs>
          <w:tab w:val="left" w:pos="5103"/>
        </w:tabs>
        <w:jc w:val="center"/>
        <w:rPr>
          <w:rFonts w:asciiTheme="majorHAnsi" w:hAnsiTheme="majorHAnsi" w:cstheme="majorHAnsi"/>
          <w:b/>
          <w:sz w:val="20"/>
          <w:szCs w:val="20"/>
        </w:rPr>
      </w:pPr>
      <w:bookmarkStart w:id="0" w:name="_GoBack"/>
      <w:bookmarkEnd w:id="0"/>
      <w:r>
        <w:rPr>
          <w:rFonts w:asciiTheme="majorHAnsi" w:hAnsiTheme="majorHAnsi"/>
          <w:b/>
          <w:sz w:val="20"/>
        </w:rPr>
        <w:t>ALLGEMEINE BEDINGUNGEN</w:t>
      </w:r>
    </w:p>
    <w:p w14:paraId="5B6B4FA0" w14:textId="77777777" w:rsidR="003B5FEA" w:rsidRPr="0012768C" w:rsidRDefault="003B5FEA" w:rsidP="003B5FEA">
      <w:pPr>
        <w:contextualSpacing/>
        <w:rPr>
          <w:rFonts w:asciiTheme="majorHAnsi" w:hAnsiTheme="majorHAnsi" w:cstheme="majorHAnsi"/>
          <w:b/>
          <w:bCs/>
          <w:sz w:val="20"/>
          <w:szCs w:val="20"/>
          <w:lang w:val="de-CH"/>
        </w:rPr>
      </w:pPr>
    </w:p>
    <w:p w14:paraId="3EDA9BF2" w14:textId="77777777" w:rsidR="003B5FEA" w:rsidRPr="003B5FEA" w:rsidRDefault="003B5FEA" w:rsidP="003B5FEA">
      <w:pPr>
        <w:contextualSpacing/>
        <w:rPr>
          <w:rFonts w:asciiTheme="majorHAnsi" w:hAnsiTheme="majorHAnsi" w:cstheme="majorHAnsi"/>
          <w:b/>
          <w:bCs/>
          <w:sz w:val="20"/>
          <w:szCs w:val="20"/>
        </w:rPr>
      </w:pPr>
      <w:r>
        <w:rPr>
          <w:rFonts w:asciiTheme="majorHAnsi" w:hAnsiTheme="majorHAnsi"/>
          <w:b/>
          <w:sz w:val="20"/>
        </w:rPr>
        <w:t>Buchungsbedingungen</w:t>
      </w:r>
    </w:p>
    <w:p w14:paraId="639D5F30" w14:textId="77777777" w:rsidR="003B5FEA" w:rsidRPr="0012768C" w:rsidRDefault="003B5FEA" w:rsidP="003B5FEA">
      <w:pPr>
        <w:contextualSpacing/>
        <w:rPr>
          <w:rFonts w:asciiTheme="majorHAnsi" w:hAnsiTheme="majorHAnsi" w:cstheme="majorHAnsi"/>
          <w:bCs/>
          <w:sz w:val="20"/>
          <w:szCs w:val="20"/>
          <w:lang w:val="de-CH"/>
        </w:rPr>
      </w:pPr>
    </w:p>
    <w:p w14:paraId="2759B132" w14:textId="5DCDDE45" w:rsidR="003B5FEA" w:rsidRPr="003B5FEA" w:rsidRDefault="00F43556" w:rsidP="003B5FEA">
      <w:pPr>
        <w:contextualSpacing/>
        <w:jc w:val="both"/>
        <w:rPr>
          <w:rFonts w:asciiTheme="majorHAnsi" w:hAnsiTheme="majorHAnsi" w:cstheme="majorHAnsi"/>
          <w:bCs/>
          <w:sz w:val="20"/>
          <w:szCs w:val="20"/>
        </w:rPr>
      </w:pPr>
      <w:r>
        <w:rPr>
          <w:rFonts w:asciiTheme="majorHAnsi" w:hAnsiTheme="majorHAnsi"/>
          <w:sz w:val="20"/>
        </w:rPr>
        <w:t>Folgende Zahlungsmittel werden akzeptiert: PayPal, Visa, Eurocard/Mastercard, American Express, Twint und PostCard</w:t>
      </w:r>
      <w:r w:rsidR="00726BF7">
        <w:rPr>
          <w:rFonts w:asciiTheme="majorHAnsi" w:hAnsiTheme="majorHAnsi"/>
          <w:sz w:val="20"/>
        </w:rPr>
        <w:t>.</w:t>
      </w:r>
    </w:p>
    <w:p w14:paraId="36EF8F33" w14:textId="77777777" w:rsidR="003B5FEA" w:rsidRPr="0012768C" w:rsidRDefault="003B5FEA" w:rsidP="003B5FEA">
      <w:pPr>
        <w:contextualSpacing/>
        <w:rPr>
          <w:rFonts w:asciiTheme="majorHAnsi" w:hAnsiTheme="majorHAnsi" w:cstheme="majorHAnsi"/>
          <w:b/>
          <w:bCs/>
          <w:sz w:val="20"/>
          <w:szCs w:val="20"/>
          <w:u w:val="single"/>
          <w:lang w:val="de-CH"/>
        </w:rPr>
      </w:pPr>
    </w:p>
    <w:p w14:paraId="1F556EAC" w14:textId="77777777" w:rsidR="003B5FEA" w:rsidRPr="003B5FEA" w:rsidRDefault="003B5FEA" w:rsidP="003B5FEA">
      <w:pPr>
        <w:contextualSpacing/>
        <w:rPr>
          <w:rFonts w:asciiTheme="majorHAnsi" w:hAnsiTheme="majorHAnsi" w:cstheme="majorHAnsi"/>
          <w:b/>
          <w:bCs/>
          <w:sz w:val="20"/>
          <w:szCs w:val="20"/>
        </w:rPr>
      </w:pPr>
      <w:r>
        <w:rPr>
          <w:rFonts w:asciiTheme="majorHAnsi" w:hAnsiTheme="majorHAnsi"/>
          <w:b/>
          <w:sz w:val="20"/>
        </w:rPr>
        <w:t>Besondere Buchungsbedingungen für Hotelpakete von FGT&amp;C</w:t>
      </w:r>
    </w:p>
    <w:p w14:paraId="2B83797A" w14:textId="77777777" w:rsidR="003B5FEA" w:rsidRPr="0012768C" w:rsidRDefault="003B5FEA" w:rsidP="003B5FEA">
      <w:pPr>
        <w:contextualSpacing/>
        <w:rPr>
          <w:rFonts w:asciiTheme="majorHAnsi" w:hAnsiTheme="majorHAnsi" w:cstheme="majorHAnsi"/>
          <w:b/>
          <w:bCs/>
          <w:sz w:val="20"/>
          <w:szCs w:val="20"/>
          <w:u w:val="single"/>
          <w:lang w:val="de-CH"/>
        </w:rPr>
      </w:pPr>
    </w:p>
    <w:p w14:paraId="6DD8119D" w14:textId="77777777" w:rsidR="003B5FEA" w:rsidRPr="003B5FEA" w:rsidRDefault="003B5FEA" w:rsidP="003B5FEA">
      <w:pPr>
        <w:contextualSpacing/>
        <w:jc w:val="both"/>
        <w:rPr>
          <w:rFonts w:asciiTheme="majorHAnsi" w:hAnsiTheme="majorHAnsi" w:cstheme="majorHAnsi"/>
          <w:bCs/>
          <w:sz w:val="20"/>
          <w:szCs w:val="20"/>
        </w:rPr>
      </w:pPr>
      <w:r>
        <w:rPr>
          <w:rFonts w:asciiTheme="majorHAnsi" w:hAnsiTheme="majorHAnsi"/>
          <w:sz w:val="20"/>
        </w:rPr>
        <w:t>Die Bezahlung Ihrer Buchung mit Kreditkarte geht direkt an FGT&amp;C. Der bezahlte Betrag deckt alle im Paket enthaltenen Leistungen ab. Jegliche Zusatzleistungen müssen zum Zeitpunkt Ihrer Abreise direkt im Hotel bezahlt werden.</w:t>
      </w:r>
      <w:r>
        <w:rPr>
          <w:rFonts w:asciiTheme="majorHAnsi" w:hAnsiTheme="majorHAnsi"/>
          <w:sz w:val="20"/>
        </w:rPr>
        <w:cr/>
      </w:r>
      <w:r>
        <w:rPr>
          <w:rFonts w:asciiTheme="majorHAnsi" w:hAnsiTheme="majorHAnsi"/>
          <w:sz w:val="20"/>
        </w:rPr>
        <w:br/>
        <w:t xml:space="preserve"> Änderungen oder Stornierungen sind der FGT&amp;C direkt mitzuteilen.</w:t>
      </w:r>
    </w:p>
    <w:p w14:paraId="15289B24" w14:textId="77777777" w:rsidR="003B5FEA" w:rsidRPr="0012768C" w:rsidRDefault="003B5FEA" w:rsidP="003B5FEA">
      <w:pPr>
        <w:contextualSpacing/>
        <w:jc w:val="both"/>
        <w:rPr>
          <w:rFonts w:asciiTheme="majorHAnsi" w:hAnsiTheme="majorHAnsi" w:cstheme="majorHAnsi"/>
          <w:bCs/>
          <w:sz w:val="20"/>
          <w:szCs w:val="20"/>
          <w:lang w:val="de-CH"/>
        </w:rPr>
      </w:pPr>
    </w:p>
    <w:p w14:paraId="51D46528" w14:textId="77777777" w:rsidR="003B5FEA" w:rsidRPr="003B5FEA" w:rsidRDefault="003B5FEA" w:rsidP="003B5FEA">
      <w:pPr>
        <w:contextualSpacing/>
        <w:jc w:val="both"/>
        <w:rPr>
          <w:rFonts w:asciiTheme="majorHAnsi" w:hAnsiTheme="majorHAnsi" w:cstheme="majorHAnsi"/>
          <w:bCs/>
          <w:sz w:val="20"/>
          <w:szCs w:val="20"/>
        </w:rPr>
      </w:pPr>
      <w:r>
        <w:rPr>
          <w:rFonts w:asciiTheme="majorHAnsi" w:hAnsiTheme="majorHAnsi"/>
          <w:sz w:val="20"/>
        </w:rPr>
        <w:t>Für jede Änderung oder Stornierung, die Sie ab dem Zeitpunkt Ihrer Buchung bis zu drei Werktage vor Ihrer Ankunft vornehmen, wird eine Bearbeitungsgebühr von 50 CHF berechnet. Nach dieser Frist kann die gebuchte Leistung gemäß den Geschäftsbedingungen des jeweiligen Hotels ganz oder teilweise in Rechnung gestellt werden.</w:t>
      </w:r>
    </w:p>
    <w:p w14:paraId="5C398865" w14:textId="77777777" w:rsidR="003B5FEA" w:rsidRPr="0012768C" w:rsidRDefault="003B5FEA" w:rsidP="003B5FEA">
      <w:pPr>
        <w:contextualSpacing/>
        <w:rPr>
          <w:rFonts w:asciiTheme="majorHAnsi" w:hAnsiTheme="majorHAnsi" w:cstheme="majorHAnsi"/>
          <w:bCs/>
          <w:sz w:val="20"/>
          <w:szCs w:val="20"/>
          <w:lang w:val="de-CH"/>
        </w:rPr>
      </w:pPr>
    </w:p>
    <w:p w14:paraId="263274DE" w14:textId="77777777" w:rsidR="003B5FEA" w:rsidRDefault="003B5FEA" w:rsidP="003B5FEA">
      <w:pPr>
        <w:rPr>
          <w:rFonts w:asciiTheme="majorHAnsi" w:hAnsiTheme="majorHAnsi" w:cstheme="majorHAnsi"/>
          <w:b/>
          <w:bCs/>
          <w:sz w:val="20"/>
          <w:szCs w:val="20"/>
        </w:rPr>
      </w:pPr>
      <w:r>
        <w:rPr>
          <w:rFonts w:asciiTheme="majorHAnsi" w:hAnsiTheme="majorHAnsi"/>
          <w:b/>
          <w:sz w:val="20"/>
        </w:rPr>
        <w:t>Bedingungen für den Kauf und die Nutzung des Geneva City Passes</w:t>
      </w:r>
    </w:p>
    <w:p w14:paraId="78BA2AE2" w14:textId="77777777" w:rsidR="003B5FEA" w:rsidRPr="0012768C" w:rsidRDefault="003B5FEA" w:rsidP="003B5FEA">
      <w:pPr>
        <w:rPr>
          <w:rFonts w:asciiTheme="majorHAnsi" w:hAnsiTheme="majorHAnsi" w:cstheme="majorHAnsi"/>
          <w:b/>
          <w:bCs/>
          <w:sz w:val="20"/>
          <w:szCs w:val="20"/>
          <w:lang w:val="de-CH"/>
        </w:rPr>
      </w:pPr>
    </w:p>
    <w:p w14:paraId="190C0FD3" w14:textId="77777777" w:rsidR="003B5FEA" w:rsidRPr="003B5FEA" w:rsidRDefault="003B5FEA" w:rsidP="003B5FEA">
      <w:pPr>
        <w:autoSpaceDE w:val="0"/>
        <w:autoSpaceDN w:val="0"/>
        <w:adjustRightInd w:val="0"/>
        <w:jc w:val="both"/>
        <w:rPr>
          <w:rFonts w:asciiTheme="majorHAnsi" w:hAnsiTheme="majorHAnsi" w:cstheme="majorHAnsi"/>
          <w:bCs/>
          <w:sz w:val="20"/>
          <w:szCs w:val="20"/>
        </w:rPr>
      </w:pPr>
      <w:r>
        <w:rPr>
          <w:rFonts w:asciiTheme="majorHAnsi" w:hAnsiTheme="majorHAnsi"/>
          <w:sz w:val="20"/>
        </w:rPr>
        <w:t>Den Geneva City Pass bezahlen Sie direkt bei FGT&amp;C mit Ihrer Kreditkarte. Der Kauf ist endgültig und nicht stornierbar. Eine Rückerstattung ist nicht möglich. Alle Preise verstehen sich inklusive Mehrwertsteuer.</w:t>
      </w:r>
    </w:p>
    <w:p w14:paraId="7EC7BE88" w14:textId="77777777" w:rsidR="003B5FEA" w:rsidRPr="0012768C" w:rsidRDefault="003B5FEA" w:rsidP="003B5FEA">
      <w:pPr>
        <w:autoSpaceDE w:val="0"/>
        <w:autoSpaceDN w:val="0"/>
        <w:adjustRightInd w:val="0"/>
        <w:jc w:val="both"/>
        <w:rPr>
          <w:rFonts w:asciiTheme="majorHAnsi" w:hAnsiTheme="majorHAnsi" w:cstheme="majorHAnsi"/>
          <w:bCs/>
          <w:sz w:val="20"/>
          <w:szCs w:val="20"/>
          <w:lang w:val="de-CH"/>
        </w:rPr>
      </w:pPr>
    </w:p>
    <w:p w14:paraId="4FE5600A" w14:textId="77777777" w:rsidR="003B5FEA" w:rsidRPr="00F43556" w:rsidRDefault="003B5FEA" w:rsidP="003B5FEA">
      <w:pPr>
        <w:contextualSpacing/>
        <w:jc w:val="both"/>
        <w:rPr>
          <w:rFonts w:asciiTheme="majorHAnsi" w:hAnsiTheme="majorHAnsi" w:cstheme="majorHAnsi"/>
          <w:sz w:val="20"/>
          <w:szCs w:val="20"/>
        </w:rPr>
      </w:pPr>
      <w:r>
        <w:rPr>
          <w:rFonts w:asciiTheme="majorHAnsi" w:hAnsiTheme="majorHAnsi"/>
          <w:sz w:val="20"/>
        </w:rPr>
        <w:t>Mit dem Geneva City Pass erhalten Sie Zugang zu den Leistungen, die in der beiliegenden Broschüre aufgelistet sind. Er muss bei jeder Verwendung vorgelegt werden. Jede Leistung kann nur einmal in Anspruch genommen werden. Dieses Angebot kann nicht mit anderen Ermäßigungen kombiniert werden. Mit dem Geneva City Pass können Sie auch kostenlos mit allen öffentlichen Verkehrsmitteln in der Zone Toute Genève (Zone 10) des Tarifverbundes Unireso in der zweiten Klasse fahren. Er muss bei Kontrollen vorgewiesen werden; ein Ausweis kann verlangt werden. Der Geneva Pass ist persönlich, nicht übertragbar und nur dann für den auf dem Pass angegebenen Zeitraum gültig, wenn er ordnungsgemäß ausgefüllt wurde. Der Geneva Pass kann nicht ersetzt oder rückerstattet werden.</w:t>
      </w:r>
    </w:p>
    <w:p w14:paraId="2DA24A8F" w14:textId="77777777" w:rsidR="009B7E4F" w:rsidRPr="0012768C" w:rsidRDefault="009B7E4F" w:rsidP="003B5FEA">
      <w:pPr>
        <w:jc w:val="both"/>
        <w:rPr>
          <w:rFonts w:asciiTheme="majorHAnsi" w:hAnsiTheme="majorHAnsi" w:cstheme="majorHAnsi"/>
          <w:b/>
          <w:bCs/>
          <w:sz w:val="20"/>
          <w:szCs w:val="20"/>
          <w:lang w:val="de-CH"/>
        </w:rPr>
      </w:pPr>
    </w:p>
    <w:p w14:paraId="46130B24" w14:textId="77777777" w:rsidR="005551D0" w:rsidRPr="00F43556" w:rsidRDefault="003B5FEA" w:rsidP="003B5FEA">
      <w:pPr>
        <w:jc w:val="both"/>
        <w:rPr>
          <w:rFonts w:asciiTheme="majorHAnsi" w:hAnsiTheme="majorHAnsi" w:cstheme="majorHAnsi"/>
          <w:b/>
          <w:bCs/>
          <w:sz w:val="20"/>
          <w:szCs w:val="20"/>
        </w:rPr>
      </w:pPr>
      <w:r>
        <w:rPr>
          <w:rFonts w:asciiTheme="majorHAnsi" w:hAnsiTheme="majorHAnsi"/>
          <w:b/>
          <w:sz w:val="20"/>
        </w:rPr>
        <w:t>Besondere Buchungsbedingungen für touristische Produkte</w:t>
      </w:r>
    </w:p>
    <w:p w14:paraId="639F50F2" w14:textId="77777777" w:rsidR="005551D0" w:rsidRPr="0012768C" w:rsidRDefault="005551D0" w:rsidP="003B5FEA">
      <w:pPr>
        <w:jc w:val="both"/>
        <w:rPr>
          <w:rFonts w:asciiTheme="majorHAnsi" w:hAnsiTheme="majorHAnsi" w:cstheme="majorHAnsi"/>
          <w:b/>
          <w:bCs/>
          <w:sz w:val="20"/>
          <w:szCs w:val="20"/>
          <w:lang w:val="de-CH"/>
        </w:rPr>
      </w:pPr>
    </w:p>
    <w:p w14:paraId="71F15131" w14:textId="77777777" w:rsidR="003B5FEA" w:rsidRPr="003B5FEA" w:rsidRDefault="003B5FEA" w:rsidP="003B5FEA">
      <w:pPr>
        <w:jc w:val="both"/>
        <w:rPr>
          <w:rFonts w:asciiTheme="majorHAnsi" w:hAnsiTheme="majorHAnsi" w:cstheme="majorHAnsi"/>
          <w:bCs/>
          <w:sz w:val="20"/>
          <w:szCs w:val="20"/>
        </w:rPr>
      </w:pPr>
      <w:r>
        <w:rPr>
          <w:rFonts w:asciiTheme="majorHAnsi" w:hAnsiTheme="majorHAnsi"/>
          <w:sz w:val="20"/>
        </w:rPr>
        <w:t>Die gebuchten Leistungen müssen zum Buchungszeitpunkt im Voraus bezahlt werden. Im Falle einer Stornierung können keine Rückerstattungen vorgenommen werden, es sei denn, der Dienstleistungsanbieter storniert die Leistung aufgrund höherer Gewalt. </w:t>
      </w:r>
    </w:p>
    <w:p w14:paraId="51C4B99D" w14:textId="77777777" w:rsidR="003B5FEA" w:rsidRPr="0012768C" w:rsidRDefault="003B5FEA" w:rsidP="003B5FEA">
      <w:pPr>
        <w:contextualSpacing/>
        <w:rPr>
          <w:rFonts w:asciiTheme="majorHAnsi" w:hAnsiTheme="majorHAnsi" w:cstheme="majorHAnsi"/>
          <w:bCs/>
          <w:sz w:val="20"/>
          <w:szCs w:val="20"/>
          <w:lang w:val="de-CH"/>
        </w:rPr>
      </w:pPr>
    </w:p>
    <w:p w14:paraId="03119CC6" w14:textId="77777777" w:rsidR="003B5FEA" w:rsidRPr="003B5FEA" w:rsidRDefault="003B5FEA" w:rsidP="003B5FEA">
      <w:pPr>
        <w:contextualSpacing/>
        <w:rPr>
          <w:rFonts w:asciiTheme="majorHAnsi" w:hAnsiTheme="majorHAnsi" w:cstheme="majorHAnsi"/>
          <w:b/>
          <w:bCs/>
          <w:sz w:val="20"/>
          <w:szCs w:val="20"/>
        </w:rPr>
      </w:pPr>
      <w:r>
        <w:rPr>
          <w:rFonts w:asciiTheme="majorHAnsi" w:hAnsiTheme="majorHAnsi"/>
          <w:b/>
          <w:sz w:val="20"/>
        </w:rPr>
        <w:t>Bedingungen für das Ausdrucken zu Hause</w:t>
      </w:r>
    </w:p>
    <w:p w14:paraId="55B7F826" w14:textId="77777777" w:rsidR="003B5FEA" w:rsidRPr="0012768C" w:rsidRDefault="003B5FEA" w:rsidP="003B5FEA">
      <w:pPr>
        <w:contextualSpacing/>
        <w:rPr>
          <w:rFonts w:asciiTheme="majorHAnsi" w:hAnsiTheme="majorHAnsi" w:cstheme="majorHAnsi"/>
          <w:b/>
          <w:bCs/>
          <w:sz w:val="20"/>
          <w:szCs w:val="20"/>
          <w:lang w:val="de-CH"/>
        </w:rPr>
      </w:pPr>
    </w:p>
    <w:p w14:paraId="0DB7A7B2" w14:textId="77777777" w:rsidR="003B5FEA" w:rsidRPr="003B5FEA" w:rsidRDefault="003B5FEA" w:rsidP="003B5FEA">
      <w:pPr>
        <w:contextualSpacing/>
        <w:jc w:val="both"/>
        <w:rPr>
          <w:rFonts w:asciiTheme="majorHAnsi" w:hAnsiTheme="majorHAnsi" w:cstheme="majorHAnsi"/>
          <w:bCs/>
          <w:sz w:val="20"/>
          <w:szCs w:val="20"/>
        </w:rPr>
      </w:pPr>
      <w:r>
        <w:rPr>
          <w:rFonts w:asciiTheme="majorHAnsi" w:hAnsiTheme="majorHAnsi"/>
          <w:sz w:val="20"/>
        </w:rPr>
        <w:t xml:space="preserve">Der Geneva City Pass muss bei 100 % Druckgröße ausgedruckt werden (keine Verkleinerung). Es ist weißes Papier zu verwenden. Änderungen an der Druckgröße sind nicht gestattet. Ein verschmierter oder nur zum Teil ausgedruckter Geneva City Pass ist ungültig. </w:t>
      </w:r>
    </w:p>
    <w:p w14:paraId="59A912A2" w14:textId="77777777" w:rsidR="003B5FEA" w:rsidRDefault="003B5FEA" w:rsidP="003B5FEA">
      <w:pPr>
        <w:contextualSpacing/>
        <w:jc w:val="both"/>
        <w:rPr>
          <w:rFonts w:asciiTheme="majorHAnsi" w:hAnsiTheme="majorHAnsi" w:cstheme="majorHAnsi"/>
          <w:bCs/>
          <w:sz w:val="20"/>
          <w:szCs w:val="20"/>
        </w:rPr>
      </w:pPr>
      <w:r>
        <w:rPr>
          <w:rFonts w:asciiTheme="majorHAnsi" w:hAnsiTheme="majorHAnsi"/>
          <w:sz w:val="20"/>
        </w:rPr>
        <w:t>Bitte verwenden Sie zum Ausdrucken des Geneva City Passes ausschließlich Laser-oder Tintenstrahldrucker mit einer Mindestauflösung von 600 dpi. Ein mit einem Faxgerät oder einem anderen Gerät ausgedruckter oder kopierter Geneva City Pass ist ungültig.</w:t>
      </w:r>
    </w:p>
    <w:p w14:paraId="758DF381" w14:textId="59746D65" w:rsidR="00427675" w:rsidRPr="00F43556" w:rsidRDefault="00427675" w:rsidP="00427675">
      <w:pPr>
        <w:rPr>
          <w:rFonts w:asciiTheme="majorHAnsi" w:hAnsiTheme="majorHAnsi" w:cstheme="majorHAnsi"/>
          <w:sz w:val="20"/>
          <w:szCs w:val="20"/>
          <w:lang w:val="en-US"/>
        </w:rPr>
      </w:pPr>
    </w:p>
    <w:sectPr w:rsidR="00427675" w:rsidRPr="00F43556" w:rsidSect="007705C2">
      <w:headerReference w:type="default" r:id="rId8"/>
      <w:footerReference w:type="default" r:id="rId9"/>
      <w:headerReference w:type="first" r:id="rId10"/>
      <w:footerReference w:type="first" r:id="rId11"/>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8525A" w14:textId="77777777" w:rsidR="00440410" w:rsidRDefault="00440410" w:rsidP="00CD6121">
      <w:r>
        <w:separator/>
      </w:r>
    </w:p>
  </w:endnote>
  <w:endnote w:type="continuationSeparator" w:id="0">
    <w:p w14:paraId="6DC2BF38" w14:textId="77777777" w:rsidR="00440410" w:rsidRDefault="00440410" w:rsidP="00CD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9AEF" w14:textId="77777777" w:rsidR="007705C2" w:rsidRDefault="007705C2">
    <w:pPr>
      <w:pStyle w:val="Pieddepage"/>
    </w:pPr>
    <w:r>
      <w:rPr>
        <w:noProof/>
        <w:lang w:val="fr-CH" w:eastAsia="fr-CH"/>
      </w:rPr>
      <w:drawing>
        <wp:anchor distT="0" distB="0" distL="114300" distR="114300" simplePos="0" relativeHeight="251663360" behindDoc="0" locked="0" layoutInCell="1" allowOverlap="1" wp14:anchorId="0E2A0BAD" wp14:editId="7E0EA397">
          <wp:simplePos x="0" y="0"/>
          <wp:positionH relativeFrom="page">
            <wp:posOffset>0</wp:posOffset>
          </wp:positionH>
          <wp:positionV relativeFrom="page">
            <wp:posOffset>9613265</wp:posOffset>
          </wp:positionV>
          <wp:extent cx="7556500" cy="1079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15-5425_Templates digitaux 2016_Wood foot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AFCE" w14:textId="77777777" w:rsidR="007705C2" w:rsidRPr="00CD6121" w:rsidRDefault="007705C2" w:rsidP="00CD6121">
    <w:pPr>
      <w:pStyle w:val="Pieddepage"/>
    </w:pPr>
    <w:r>
      <w:rPr>
        <w:noProof/>
        <w:lang w:val="fr-CH" w:eastAsia="fr-CH"/>
      </w:rPr>
      <w:drawing>
        <wp:anchor distT="0" distB="0" distL="114300" distR="114300" simplePos="0" relativeHeight="251659264" behindDoc="0" locked="0" layoutInCell="1" allowOverlap="1" wp14:anchorId="2A58EBA7" wp14:editId="30552462">
          <wp:simplePos x="0" y="0"/>
          <wp:positionH relativeFrom="page">
            <wp:posOffset>0</wp:posOffset>
          </wp:positionH>
          <wp:positionV relativeFrom="page">
            <wp:posOffset>9613265</wp:posOffset>
          </wp:positionV>
          <wp:extent cx="7556500" cy="107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15-5425_Templates digitaux 2016_Wood foot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0A37F" w14:textId="77777777" w:rsidR="00440410" w:rsidRDefault="00440410" w:rsidP="00CD6121">
      <w:r>
        <w:separator/>
      </w:r>
    </w:p>
  </w:footnote>
  <w:footnote w:type="continuationSeparator" w:id="0">
    <w:p w14:paraId="5F3392C4" w14:textId="77777777" w:rsidR="00440410" w:rsidRDefault="00440410" w:rsidP="00CD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3D6E" w14:textId="77777777" w:rsidR="007705C2" w:rsidRDefault="007705C2">
    <w:pPr>
      <w:pStyle w:val="En-tte"/>
    </w:pPr>
    <w:r>
      <w:rPr>
        <w:noProof/>
        <w:lang w:val="fr-CH" w:eastAsia="fr-CH"/>
      </w:rPr>
      <w:drawing>
        <wp:anchor distT="0" distB="0" distL="114300" distR="114300" simplePos="0" relativeHeight="251661312" behindDoc="1" locked="0" layoutInCell="1" allowOverlap="1" wp14:anchorId="754C3366" wp14:editId="075CCCD0">
          <wp:simplePos x="0" y="0"/>
          <wp:positionH relativeFrom="page">
            <wp:posOffset>0</wp:posOffset>
          </wp:positionH>
          <wp:positionV relativeFrom="page">
            <wp:posOffset>0</wp:posOffset>
          </wp:positionV>
          <wp:extent cx="7556500" cy="1079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15-5425_Templates digitaux 2016_Word h$ead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8721D" w14:textId="77777777" w:rsidR="007705C2" w:rsidRDefault="007705C2">
    <w:pPr>
      <w:pStyle w:val="En-tte"/>
    </w:pPr>
    <w:r>
      <w:rPr>
        <w:noProof/>
        <w:lang w:val="fr-CH" w:eastAsia="fr-CH"/>
      </w:rPr>
      <w:drawing>
        <wp:anchor distT="0" distB="0" distL="114300" distR="114300" simplePos="0" relativeHeight="251658240" behindDoc="1" locked="0" layoutInCell="1" allowOverlap="1" wp14:anchorId="12A6DD75" wp14:editId="268A7FE3">
          <wp:simplePos x="0" y="0"/>
          <wp:positionH relativeFrom="page">
            <wp:posOffset>0</wp:posOffset>
          </wp:positionH>
          <wp:positionV relativeFrom="page">
            <wp:posOffset>0</wp:posOffset>
          </wp:positionV>
          <wp:extent cx="7556500" cy="1079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15-5425_Templates digitaux 2016_Word h$ead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D3CCC"/>
    <w:multiLevelType w:val="multilevel"/>
    <w:tmpl w:val="36C4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EA"/>
    <w:rsid w:val="001047AB"/>
    <w:rsid w:val="0012768C"/>
    <w:rsid w:val="0025320D"/>
    <w:rsid w:val="002856B5"/>
    <w:rsid w:val="002A5289"/>
    <w:rsid w:val="002F686B"/>
    <w:rsid w:val="00345EBC"/>
    <w:rsid w:val="003B5FEA"/>
    <w:rsid w:val="00427675"/>
    <w:rsid w:val="00440410"/>
    <w:rsid w:val="004E6972"/>
    <w:rsid w:val="005551D0"/>
    <w:rsid w:val="00610945"/>
    <w:rsid w:val="00634794"/>
    <w:rsid w:val="00680D4D"/>
    <w:rsid w:val="00726BF7"/>
    <w:rsid w:val="007705C2"/>
    <w:rsid w:val="00805CDE"/>
    <w:rsid w:val="00867FC0"/>
    <w:rsid w:val="008A63BA"/>
    <w:rsid w:val="008C315E"/>
    <w:rsid w:val="008D0CF4"/>
    <w:rsid w:val="009546CF"/>
    <w:rsid w:val="009B7E4F"/>
    <w:rsid w:val="00A04FF6"/>
    <w:rsid w:val="00AB29B0"/>
    <w:rsid w:val="00B25163"/>
    <w:rsid w:val="00C32D1F"/>
    <w:rsid w:val="00C6506C"/>
    <w:rsid w:val="00CD6121"/>
    <w:rsid w:val="00E41874"/>
    <w:rsid w:val="00F43556"/>
    <w:rsid w:val="00F75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2A786"/>
  <w14:defaultImageDpi w14:val="300"/>
  <w15:docId w15:val="{4454F69C-E8C1-4D0F-98AA-13C95266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6121"/>
    <w:pPr>
      <w:tabs>
        <w:tab w:val="center" w:pos="4153"/>
        <w:tab w:val="right" w:pos="8306"/>
      </w:tabs>
    </w:pPr>
  </w:style>
  <w:style w:type="character" w:customStyle="1" w:styleId="En-tteCar">
    <w:name w:val="En-tête Car"/>
    <w:basedOn w:val="Policepardfaut"/>
    <w:link w:val="En-tte"/>
    <w:uiPriority w:val="99"/>
    <w:rsid w:val="00CD6121"/>
  </w:style>
  <w:style w:type="paragraph" w:styleId="Pieddepage">
    <w:name w:val="footer"/>
    <w:basedOn w:val="Normal"/>
    <w:link w:val="PieddepageCar"/>
    <w:uiPriority w:val="99"/>
    <w:unhideWhenUsed/>
    <w:rsid w:val="00CD6121"/>
    <w:pPr>
      <w:tabs>
        <w:tab w:val="center" w:pos="4153"/>
        <w:tab w:val="right" w:pos="8306"/>
      </w:tabs>
    </w:pPr>
  </w:style>
  <w:style w:type="character" w:customStyle="1" w:styleId="PieddepageCar">
    <w:name w:val="Pied de page Car"/>
    <w:basedOn w:val="Policepardfaut"/>
    <w:link w:val="Pieddepage"/>
    <w:uiPriority w:val="99"/>
    <w:rsid w:val="00CD6121"/>
  </w:style>
  <w:style w:type="paragraph" w:styleId="Textedebulles">
    <w:name w:val="Balloon Text"/>
    <w:basedOn w:val="Normal"/>
    <w:link w:val="TextedebullesCar"/>
    <w:uiPriority w:val="99"/>
    <w:semiHidden/>
    <w:unhideWhenUsed/>
    <w:rsid w:val="00CD612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6121"/>
    <w:rPr>
      <w:rFonts w:ascii="Lucida Grande" w:hAnsi="Lucida Grande" w:cs="Lucida Grande"/>
      <w:sz w:val="18"/>
      <w:szCs w:val="18"/>
    </w:rPr>
  </w:style>
  <w:style w:type="character" w:styleId="Lienhypertexte">
    <w:name w:val="Hyperlink"/>
    <w:basedOn w:val="Policepardfaut"/>
    <w:uiPriority w:val="99"/>
    <w:unhideWhenUsed/>
    <w:rsid w:val="00555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FGTC 2016">
  <a:themeElements>
    <a:clrScheme name="FGTC 2016">
      <a:dk1>
        <a:sysClr val="windowText" lastClr="000000"/>
      </a:dk1>
      <a:lt1>
        <a:sysClr val="window" lastClr="FFFFFF"/>
      </a:lt1>
      <a:dk2>
        <a:srgbClr val="5AC5F1"/>
      </a:dk2>
      <a:lt2>
        <a:srgbClr val="3B3B3A"/>
      </a:lt2>
      <a:accent1>
        <a:srgbClr val="8F0D69"/>
      </a:accent1>
      <a:accent2>
        <a:srgbClr val="949C9E"/>
      </a:accent2>
      <a:accent3>
        <a:srgbClr val="005294"/>
      </a:accent3>
      <a:accent4>
        <a:srgbClr val="73B632"/>
      </a:accent4>
      <a:accent5>
        <a:srgbClr val="5D2759"/>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8406-52B8-4337-9BFD-0925BB31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2339</Characters>
  <Application>Microsoft Office Word</Application>
  <DocSecurity>0</DocSecurity>
  <Lines>54</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Rampoldi</dc:creator>
  <cp:lastModifiedBy>Pianeta Charlotte</cp:lastModifiedBy>
  <cp:revision>4</cp:revision>
  <cp:lastPrinted>2016-05-18T09:20:00Z</cp:lastPrinted>
  <dcterms:created xsi:type="dcterms:W3CDTF">2020-11-27T10:47:00Z</dcterms:created>
  <dcterms:modified xsi:type="dcterms:W3CDTF">2020-12-01T09:29:00Z</dcterms:modified>
</cp:coreProperties>
</file>